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06901941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5536AC76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06901941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06901941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06901941" w:rsidR="1E544BDC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Síndrome</w:t>
            </w:r>
            <w:r w:rsidRPr="06901941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de Kawasaki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D23C1D1" w:rsidP="06901941" w:rsidRDefault="3D23C1D1" w14:paraId="65BF5AE6" w14:textId="3C4B6E40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¿El usuario (a) ha presentado síndrome de Kawasaki anteriormente?, de ser así, señale la fecha y si quedó con alguna secuela </w:t>
      </w:r>
    </w:p>
    <w:p w:rsidR="3D23C1D1" w:rsidP="06901941" w:rsidRDefault="3D23C1D1" w14:paraId="1B22249B" w14:textId="13770B91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usuario (a) presentó alguno de los siguientes síntomas?</w:t>
      </w:r>
      <w:r w:rsidRPr="06901941" w:rsidR="600A2242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(Adjuntando evoluciones médicas y de enfermería)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:  </w:t>
      </w:r>
    </w:p>
    <w:p w:rsidR="3D23C1D1" w:rsidP="06901941" w:rsidRDefault="3D23C1D1" w14:paraId="3BB1B59A" w14:textId="1309961A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fiebre &gt;38°C, señale fecha de inicio y término y si fue continua o intermitente.  </w:t>
      </w:r>
    </w:p>
    <w:p w:rsidR="3D23C1D1" w:rsidP="06901941" w:rsidRDefault="3D23C1D1" w14:paraId="013526EA" w14:textId="275AF812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conjuntivitis no exudativa, describir si es 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uni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o bilateral. </w:t>
      </w:r>
    </w:p>
    <w:p w:rsidR="3D23C1D1" w:rsidP="06901941" w:rsidRDefault="3D23C1D1" w14:paraId="59CB5F66" w14:textId="56A2DDC1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exantema  </w:t>
      </w:r>
    </w:p>
    <w:p w:rsidR="3D23C1D1" w:rsidP="06901941" w:rsidRDefault="3D23C1D1" w14:paraId="6DC564BD" w14:textId="679EAA65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linfoadenopatía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cervical, describir si es 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uni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o bilateral. </w:t>
      </w:r>
    </w:p>
    <w:p w:rsidR="3D23C1D1" w:rsidP="06901941" w:rsidRDefault="3D23C1D1" w14:paraId="21047B73" w14:textId="4657311A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cambios en las extremidades, como eritema y/o 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MX"/>
        </w:rPr>
        <w:t>edema en las palmas o plantas de los pies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p w:rsidR="3D23C1D1" w:rsidP="06901941" w:rsidRDefault="3D23C1D1" w14:paraId="25B9B153" w14:textId="02276A7C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MX"/>
        </w:rPr>
        <w:t xml:space="preserve">cambios en labios como sequedad, fisuras, sangrado, eritema, y/o en la cavidad oral, como eritema o lengua 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MX"/>
        </w:rPr>
        <w:t>aframbuesada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MX"/>
        </w:rPr>
        <w:t xml:space="preserve">. 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p w:rsidR="3D23C1D1" w:rsidP="06901941" w:rsidRDefault="3D23C1D1" w14:paraId="1AA529B4" w14:textId="5948070D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MX"/>
        </w:rPr>
        <w:t xml:space="preserve">descamación periungueal (alrededor de las uñas) perianal o perineal. 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p w:rsidR="3D23C1D1" w:rsidP="06901941" w:rsidRDefault="3D23C1D1" w14:paraId="6EF14AB1" w14:textId="55CA8A47">
      <w:pPr>
        <w:pStyle w:val="Prrafodelista"/>
        <w:numPr>
          <w:ilvl w:val="0"/>
          <w:numId w:val="103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MX"/>
        </w:rPr>
        <w:t>presentó induración y coloración en la cicatriz de BCG.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p w:rsidR="3D23C1D1" w:rsidP="06901941" w:rsidRDefault="3D23C1D1" w14:paraId="35ABBCCE" w14:textId="289CBDF6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Adjunte informes de resultados de exámenes realizados, especialmente ecocardiograma, hemograma, hemocultivo, PCR, velocidad de sedimentación, albúmina, perfil hepático y orina completa.  </w:t>
      </w:r>
    </w:p>
    <w:p w:rsidR="3D23C1D1" w:rsidP="06901941" w:rsidRDefault="3D23C1D1" w14:paraId="056F1159" w14:textId="54775D23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Adjunte registros de presión arterial y de temperatura realizados al usuario</w:t>
      </w:r>
      <w:r w:rsidRPr="06901941" w:rsidR="3E517BC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06901941" w:rsidR="3D23C1D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06901941" w:rsidR="0620F3A4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).</w:t>
      </w:r>
    </w:p>
    <w:p w:rsidR="06901941" w:rsidP="06901941" w:rsidRDefault="06901941" w14:paraId="0A8FAABB" w14:textId="62543F5B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E0F22D9"/>
    <w:rsid w:val="0FE00FD2"/>
    <w:rsid w:val="11FF2F67"/>
    <w:rsid w:val="123BEB53"/>
    <w:rsid w:val="13ADFE5A"/>
    <w:rsid w:val="1788C375"/>
    <w:rsid w:val="195D521B"/>
    <w:rsid w:val="1B7CFF21"/>
    <w:rsid w:val="1C4466AD"/>
    <w:rsid w:val="1D5A8F2F"/>
    <w:rsid w:val="1D87C37F"/>
    <w:rsid w:val="1E0BDBF0"/>
    <w:rsid w:val="1E544BDC"/>
    <w:rsid w:val="1ED6102C"/>
    <w:rsid w:val="1EE039C1"/>
    <w:rsid w:val="1F3FA212"/>
    <w:rsid w:val="2982913A"/>
    <w:rsid w:val="2A341C23"/>
    <w:rsid w:val="2A47A34D"/>
    <w:rsid w:val="2A4D6F86"/>
    <w:rsid w:val="2A9E3577"/>
    <w:rsid w:val="2F1E0B50"/>
    <w:rsid w:val="317F14B8"/>
    <w:rsid w:val="33B7B968"/>
    <w:rsid w:val="38AE4864"/>
    <w:rsid w:val="38B0CF14"/>
    <w:rsid w:val="3D23C1D1"/>
    <w:rsid w:val="3E517BCA"/>
    <w:rsid w:val="41EB39C2"/>
    <w:rsid w:val="445743FE"/>
    <w:rsid w:val="44C44FD5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84AEF14"/>
    <w:rsid w:val="58AB4024"/>
    <w:rsid w:val="5AB739E4"/>
    <w:rsid w:val="5BE9452F"/>
    <w:rsid w:val="5C4A4BA0"/>
    <w:rsid w:val="5EA4719E"/>
    <w:rsid w:val="600A2242"/>
    <w:rsid w:val="62765A7A"/>
    <w:rsid w:val="63BB04BE"/>
    <w:rsid w:val="6A541E1D"/>
    <w:rsid w:val="6CD1B559"/>
    <w:rsid w:val="6D75C411"/>
    <w:rsid w:val="708468F1"/>
    <w:rsid w:val="7176A92A"/>
    <w:rsid w:val="71F28867"/>
    <w:rsid w:val="72A8BEEB"/>
    <w:rsid w:val="74DF964E"/>
    <w:rsid w:val="78D82144"/>
    <w:rsid w:val="7C18F2C0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73136-336C-4BD8-965E-1DBC78DEFFDE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14</cp:revision>
  <dcterms:created xsi:type="dcterms:W3CDTF">2026-03-02T20:20:00Z</dcterms:created>
  <dcterms:modified xsi:type="dcterms:W3CDTF">2026-03-03T12:24:31Z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